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D7D0" w14:textId="77777777" w:rsidR="002934AE" w:rsidRDefault="002934AE" w:rsidP="002934AE">
      <w:pPr>
        <w:jc w:val="center"/>
        <w:rPr>
          <w:b/>
          <w:bCs/>
        </w:rPr>
      </w:pPr>
      <w:r w:rsidRPr="002934AE">
        <w:rPr>
          <w:b/>
          <w:bCs/>
        </w:rPr>
        <w:t xml:space="preserve">ARTICLES SUBMITTED WITH REQUEST TO REVIEW </w:t>
      </w:r>
    </w:p>
    <w:p w14:paraId="71739175" w14:textId="164224C8" w:rsidR="002934AE" w:rsidRPr="002934AE" w:rsidRDefault="002934AE" w:rsidP="002934AE">
      <w:pPr>
        <w:jc w:val="center"/>
        <w:rPr>
          <w:b/>
          <w:bCs/>
        </w:rPr>
      </w:pPr>
      <w:r w:rsidRPr="002934AE">
        <w:rPr>
          <w:b/>
          <w:bCs/>
        </w:rPr>
        <w:t>CARBOHYDRATE RESTRICTION FOR TREATMENT OF TYPE 2 DIABETES AND PREDIABETES</w:t>
      </w:r>
    </w:p>
    <w:p w14:paraId="12E2CAF3" w14:textId="77777777" w:rsidR="002934AE" w:rsidRDefault="002934AE" w:rsidP="002934AE"/>
    <w:p w14:paraId="045E1C90" w14:textId="79A03A20" w:rsidR="002934AE" w:rsidRDefault="002934AE" w:rsidP="002934AE">
      <w:r>
        <w:t>Riddle et al. Consensus Report: Definition and Interpretation of Remission in Type 2</w:t>
      </w:r>
    </w:p>
    <w:p w14:paraId="297A675A" w14:textId="77777777" w:rsidR="002934AE" w:rsidRDefault="002934AE" w:rsidP="002934AE">
      <w:r>
        <w:t>Diabetes. Diabetes Care 1 October 2021; 44 (10):</w:t>
      </w:r>
    </w:p>
    <w:p w14:paraId="57DBB386" w14:textId="77777777" w:rsidR="002934AE" w:rsidRDefault="002934AE" w:rsidP="002934AE">
      <w:r>
        <w:t>2438–2444. </w:t>
      </w:r>
      <w:hyperlink r:id="rId4" w:history="1">
        <w:r w:rsidRPr="000118DC">
          <w:rPr>
            <w:rStyle w:val="Hyperlink"/>
          </w:rPr>
          <w:t>https://doi.org/10.2337/dci21-0034</w:t>
        </w:r>
      </w:hyperlink>
      <w:r>
        <w:t xml:space="preserve"> </w:t>
      </w:r>
    </w:p>
    <w:p w14:paraId="2282EEA1" w14:textId="77777777" w:rsidR="002934AE" w:rsidRDefault="002934AE" w:rsidP="002934AE"/>
    <w:p w14:paraId="14094CE4" w14:textId="3919F05D" w:rsidR="002934AE" w:rsidRDefault="002934AE" w:rsidP="002934AE">
      <w:r w:rsidRPr="00591F6E">
        <w:t xml:space="preserve">Athinarayanan Shaminie J., Adams Rebecca N., Hallberg Sarah J., McKenzie Amy L., Bhanpuri Nasir H., Campbell Wayne W., Volek Jeff S., Phinney Stephen D., McCarter James P..  Long-Term Effects of a Novel Continuous Remote Care Intervention Including Nutritional Ketosis for the Management of Type 2 Diabetes: A 2-Year Non-randomized Clinical Trial. Frontiers in Endocrinology, v 10, 2019. </w:t>
      </w:r>
      <w:hyperlink r:id="rId5" w:history="1">
        <w:r w:rsidRPr="000118DC">
          <w:rPr>
            <w:rStyle w:val="Hyperlink"/>
          </w:rPr>
          <w:t>https://www.frontiersin.org/article/10.3389/fendo.2019.00348</w:t>
        </w:r>
      </w:hyperlink>
      <w:r>
        <w:t xml:space="preserve"> </w:t>
      </w:r>
      <w:r w:rsidRPr="00591F6E">
        <w:t xml:space="preserve">  </w:t>
      </w:r>
    </w:p>
    <w:p w14:paraId="43D7755C" w14:textId="77777777" w:rsidR="002934AE" w:rsidRDefault="002934AE" w:rsidP="002934AE"/>
    <w:p w14:paraId="3BBE1C8B" w14:textId="1AD7B3BD" w:rsidR="002934AE" w:rsidRPr="00591F6E" w:rsidRDefault="002934AE" w:rsidP="002934AE">
      <w:pPr>
        <w:rPr>
          <w:rFonts w:ascii="Times New Roman" w:eastAsia="Times New Roman" w:hAnsi="Times New Roman" w:cs="Times New Roman"/>
        </w:rPr>
      </w:pP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Hallberg SJ, McKenzie AL, Williams P, et al. Effectiveness and Safety of a Novel Care Model for the Management of Type 2 Diabetes at One Year: An Open Label, Non-Randomized, Controlled Study. Diabetes Therapy. 2018; 9(2): 583-612. </w:t>
      </w:r>
      <w:r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 </w:t>
      </w:r>
      <w:hyperlink r:id="rId6" w:history="1">
        <w:r w:rsidRPr="000118DC">
          <w:rPr>
            <w:rStyle w:val="Hyperlink"/>
            <w:rFonts w:ascii="Verdana" w:eastAsia="Times New Roman" w:hAnsi="Verdana" w:cs="Times New Roman"/>
            <w:sz w:val="21"/>
            <w:szCs w:val="21"/>
            <w:shd w:val="clear" w:color="auto" w:fill="EFE7F4"/>
          </w:rPr>
          <w:t>https://pubmed.ncbi.nlm.nih.gov/29417495/</w:t>
        </w:r>
      </w:hyperlink>
      <w:r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 </w:t>
      </w:r>
    </w:p>
    <w:p w14:paraId="0759DD56" w14:textId="77777777" w:rsidR="002934AE" w:rsidRDefault="002934AE" w:rsidP="002934AE"/>
    <w:p w14:paraId="1D8CE1BE" w14:textId="77777777" w:rsidR="002934AE" w:rsidRPr="00591F6E" w:rsidRDefault="002934AE" w:rsidP="002934AE">
      <w:pPr>
        <w:rPr>
          <w:rFonts w:ascii="Times New Roman" w:eastAsia="Times New Roman" w:hAnsi="Times New Roman" w:cs="Times New Roman"/>
        </w:rPr>
      </w:pP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>McKenzie AL, Hallberg SJ, Creighton BC, et al. A Novel Intervention Including Individualized Nutritional Recommendations Reduces Hemoglobin A1c Level, Medication Use, and Weight in Type 2 Diabetes. JMIR Diabetes. 2017; 2(1):e5.</w:t>
      </w:r>
    </w:p>
    <w:p w14:paraId="40BD0406" w14:textId="77777777" w:rsidR="002934AE" w:rsidRDefault="002934AE" w:rsidP="002934AE"/>
    <w:p w14:paraId="2E503764" w14:textId="77777777" w:rsidR="002934AE" w:rsidRDefault="002934AE" w:rsidP="002934AE">
      <w:r>
        <w:rPr>
          <w:rFonts w:ascii="Verdana" w:hAnsi="Verdana"/>
          <w:color w:val="24262B"/>
          <w:sz w:val="21"/>
          <w:szCs w:val="21"/>
          <w:shd w:val="clear" w:color="auto" w:fill="EFE7F4"/>
        </w:rPr>
        <w:t>McKenzie AL, Athinarayanan SJ, McCue JJ, Adams RN, Keyes M, McCarter JP, Volek JS, Phinney SD, Hallberg SJ. Type 2 Diabetes Prevention Focused on Normalization of Glycemia: A Two-Year Pilot Study. Nutrients. 2021; 13(3):749. </w:t>
      </w:r>
      <w:hyperlink r:id="rId7" w:history="1">
        <w:r>
          <w:rPr>
            <w:rStyle w:val="Hyperlink"/>
            <w:rFonts w:ascii="Verdana" w:hAnsi="Verdana"/>
            <w:color w:val="0D4681"/>
            <w:sz w:val="21"/>
            <w:szCs w:val="21"/>
            <w:shd w:val="clear" w:color="auto" w:fill="EFE7F4"/>
          </w:rPr>
          <w:t>https://doi.org/10.3390/nu13030749</w:t>
        </w:r>
      </w:hyperlink>
    </w:p>
    <w:p w14:paraId="5669CFAB" w14:textId="77777777" w:rsidR="002934AE" w:rsidRDefault="002934AE" w:rsidP="002934AE"/>
    <w:p w14:paraId="3450B2E1" w14:textId="751AEF32" w:rsidR="002934AE" w:rsidRPr="00591F6E" w:rsidRDefault="002934AE" w:rsidP="002934AE">
      <w:pPr>
        <w:rPr>
          <w:rFonts w:ascii="Times New Roman" w:eastAsia="Times New Roman" w:hAnsi="Times New Roman" w:cs="Times New Roman"/>
        </w:rPr>
      </w:pP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Bhanpuri NH, Hallberg SJ, Williams PT, McKenzie AL, Ballard KD, Campbell WW, McCarter JP, Phinney SD, Volek JS. Cardiovascular Disease Risk Factor Responses to a Type 2 Diabetes Care Model Including Nutritional Ketosis at One Year: An Open Label, Non-Randomized, Controlled Study. Cardiovasc Diabetol. 2018; 17:56. </w:t>
      </w:r>
      <w:hyperlink r:id="rId8" w:history="1">
        <w:r w:rsidRPr="000118DC">
          <w:rPr>
            <w:rStyle w:val="Hyperlink"/>
            <w:rFonts w:ascii="Verdana" w:eastAsia="Times New Roman" w:hAnsi="Verdana" w:cs="Times New Roman"/>
            <w:sz w:val="21"/>
            <w:szCs w:val="21"/>
            <w:shd w:val="clear" w:color="auto" w:fill="EFE7F4"/>
          </w:rPr>
          <w:t>https://pubmed.ncbi.nlm.nih.gov/29712560/</w:t>
        </w:r>
      </w:hyperlink>
      <w:r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 </w:t>
      </w:r>
    </w:p>
    <w:p w14:paraId="16EB40D3" w14:textId="77777777" w:rsidR="002934AE" w:rsidRDefault="002934AE" w:rsidP="002934AE"/>
    <w:p w14:paraId="5A22A562" w14:textId="7984242E" w:rsidR="002934AE" w:rsidRDefault="002934AE" w:rsidP="002934AE">
      <w:pPr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</w:pP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Vilar-Gomez E, Athinarayanan SJ, Adams RN, et al Post hoc analyses of surrogate markers of non-alcoholic fatty liver disease (NAFLD) and liver fibrosis in patients with type 2 diabetes in a digitally supported continuous care intervention: an open-label, non-randomised controlled study BMJ Open 2019;9:e023597. </w:t>
      </w:r>
      <w:hyperlink r:id="rId9" w:history="1">
        <w:r w:rsidR="005335C2" w:rsidRPr="000118DC">
          <w:rPr>
            <w:rStyle w:val="Hyperlink"/>
            <w:rFonts w:ascii="Verdana" w:eastAsia="Times New Roman" w:hAnsi="Verdana" w:cs="Times New Roman"/>
            <w:sz w:val="21"/>
            <w:szCs w:val="21"/>
            <w:shd w:val="clear" w:color="auto" w:fill="EFE7F4"/>
          </w:rPr>
          <w:t>https://bmjopen.bmj.com/content/9/2/e023597</w:t>
        </w:r>
      </w:hyperlink>
      <w:r w:rsidR="005335C2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 </w:t>
      </w:r>
    </w:p>
    <w:p w14:paraId="7E2F8C6B" w14:textId="77777777" w:rsidR="002934AE" w:rsidRPr="00591F6E" w:rsidRDefault="002934AE" w:rsidP="002934AE">
      <w:pPr>
        <w:rPr>
          <w:rFonts w:ascii="Times New Roman" w:eastAsia="Times New Roman" w:hAnsi="Times New Roman" w:cs="Times New Roman"/>
        </w:rPr>
      </w:pPr>
    </w:p>
    <w:p w14:paraId="012AF3B0" w14:textId="7450394A" w:rsidR="002934AE" w:rsidRPr="00591F6E" w:rsidRDefault="002934AE" w:rsidP="002934AE">
      <w:pPr>
        <w:rPr>
          <w:rFonts w:ascii="Times New Roman" w:eastAsia="Times New Roman" w:hAnsi="Times New Roman" w:cs="Times New Roman"/>
        </w:rPr>
      </w:pP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>Lyman, K.S., Athinarayanan, S.J., McKenzie, A.L. </w:t>
      </w:r>
      <w:r w:rsidRPr="00591F6E">
        <w:rPr>
          <w:rFonts w:ascii="Verdana" w:eastAsia="Times New Roman" w:hAnsi="Verdana" w:cs="Times New Roman"/>
          <w:i/>
          <w:iCs/>
          <w:color w:val="24262B"/>
          <w:sz w:val="21"/>
          <w:szCs w:val="21"/>
          <w:shd w:val="clear" w:color="auto" w:fill="EFE7F4"/>
        </w:rPr>
        <w:t>et al.</w:t>
      </w: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> Continuous care intervention with carbohydrate restriction improves physical function of the knees among patients with type 2 diabetes: a non-randomized study. </w:t>
      </w:r>
      <w:r w:rsidRPr="00591F6E">
        <w:rPr>
          <w:rFonts w:ascii="Verdana" w:eastAsia="Times New Roman" w:hAnsi="Verdana" w:cs="Times New Roman"/>
          <w:i/>
          <w:iCs/>
          <w:color w:val="24262B"/>
          <w:sz w:val="21"/>
          <w:szCs w:val="21"/>
          <w:shd w:val="clear" w:color="auto" w:fill="EFE7F4"/>
        </w:rPr>
        <w:t>BMC Musculoskelet Disord </w:t>
      </w: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>23,</w:t>
      </w:r>
      <w:r w:rsidRPr="00591F6E">
        <w:rPr>
          <w:rFonts w:ascii="Verdana" w:eastAsia="Times New Roman" w:hAnsi="Verdana" w:cs="Times New Roman"/>
          <w:b/>
          <w:bCs/>
          <w:color w:val="24262B"/>
          <w:sz w:val="21"/>
          <w:szCs w:val="21"/>
          <w:shd w:val="clear" w:color="auto" w:fill="EFE7F4"/>
        </w:rPr>
        <w:t> </w:t>
      </w:r>
      <w:r w:rsidRPr="00591F6E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297 (2022). </w:t>
      </w:r>
      <w:hyperlink r:id="rId10" w:history="1">
        <w:r w:rsidR="005335C2" w:rsidRPr="00591F6E">
          <w:rPr>
            <w:rStyle w:val="Hyperlink"/>
            <w:rFonts w:ascii="Verdana" w:eastAsia="Times New Roman" w:hAnsi="Verdana" w:cs="Times New Roman"/>
            <w:sz w:val="21"/>
            <w:szCs w:val="21"/>
            <w:shd w:val="clear" w:color="auto" w:fill="EFE7F4"/>
          </w:rPr>
          <w:t>https://doi.org/10.1186/s12891-022-05258-0</w:t>
        </w:r>
      </w:hyperlink>
      <w:r w:rsidR="005335C2">
        <w:rPr>
          <w:rFonts w:ascii="Verdana" w:eastAsia="Times New Roman" w:hAnsi="Verdana" w:cs="Times New Roman"/>
          <w:color w:val="24262B"/>
          <w:sz w:val="21"/>
          <w:szCs w:val="21"/>
          <w:shd w:val="clear" w:color="auto" w:fill="EFE7F4"/>
        </w:rPr>
        <w:t xml:space="preserve"> </w:t>
      </w:r>
    </w:p>
    <w:p w14:paraId="715183C1" w14:textId="77777777" w:rsidR="002934AE" w:rsidRDefault="002934AE" w:rsidP="002934AE"/>
    <w:p w14:paraId="5F3871C8" w14:textId="77777777" w:rsidR="002934AE" w:rsidRDefault="002934AE" w:rsidP="002934AE">
      <w:r>
        <w:t>Wheatley et al. Low Carbohydrate Dietary Approaches for People With Type 2</w:t>
      </w:r>
    </w:p>
    <w:p w14:paraId="1371EA70" w14:textId="77777777" w:rsidR="002934AE" w:rsidRDefault="002934AE" w:rsidP="002934AE">
      <w:r>
        <w:t>Diabetes-A Narrative Review. Frontiers in nutrition vol. 8, 687658. 15 Jul 2021</w:t>
      </w:r>
    </w:p>
    <w:p w14:paraId="143B89EE" w14:textId="77777777" w:rsidR="002934AE" w:rsidRDefault="002934AE" w:rsidP="002934AE">
      <w:hyperlink r:id="rId11" w:history="1">
        <w:r w:rsidRPr="00851723">
          <w:rPr>
            <w:rStyle w:val="Hyperlink"/>
          </w:rPr>
          <w:t>https://www.ncbi.nlm.nih.gov/pmc/articles/PMC8319397/</w:t>
        </w:r>
      </w:hyperlink>
      <w:r>
        <w:t xml:space="preserve"> </w:t>
      </w:r>
    </w:p>
    <w:p w14:paraId="4B272EA0" w14:textId="77777777" w:rsidR="002934AE" w:rsidRDefault="002934AE" w:rsidP="002934AE"/>
    <w:p w14:paraId="32C03792" w14:textId="39348EAF" w:rsidR="002B3CE3" w:rsidRDefault="002934AE" w:rsidP="002934AE">
      <w:r w:rsidRPr="0002294F">
        <w:rPr>
          <w:rFonts w:eastAsia="Times New Roman" w:cstheme="minorHAnsi"/>
          <w:color w:val="222222"/>
          <w:shd w:val="clear" w:color="auto" w:fill="FFFFFF"/>
        </w:rPr>
        <w:t>Volek JS, Phinney SD, Krauss RM, Johnson RJ, Saslow LR, Gower B, Yancy WS Jr., King JC, Hecht FM, Teicholz N, Bistrian BR, Hamdy O. Alternative Dietary Patterns for Americans: Low-Carbohydrate Diets. </w:t>
      </w:r>
      <w:r w:rsidRPr="0002294F">
        <w:rPr>
          <w:rFonts w:eastAsia="Times New Roman" w:cstheme="minorHAnsi"/>
          <w:i/>
          <w:iCs/>
          <w:color w:val="222222"/>
          <w:shd w:val="clear" w:color="auto" w:fill="FFFFFF"/>
        </w:rPr>
        <w:t>Nutrients</w:t>
      </w:r>
      <w:r w:rsidRPr="0002294F">
        <w:rPr>
          <w:rFonts w:eastAsia="Times New Roman" w:cstheme="minorHAnsi"/>
          <w:color w:val="222222"/>
          <w:shd w:val="clear" w:color="auto" w:fill="FFFFFF"/>
        </w:rPr>
        <w:t xml:space="preserve">. 2021; 13(10):3299. </w:t>
      </w:r>
      <w:hyperlink r:id="rId12" w:history="1">
        <w:r w:rsidRPr="0002294F">
          <w:rPr>
            <w:rStyle w:val="Hyperlink"/>
            <w:rFonts w:eastAsia="Times New Roman" w:cstheme="minorHAnsi"/>
            <w:shd w:val="clear" w:color="auto" w:fill="FFFFFF"/>
          </w:rPr>
          <w:t>https://doi.org/10.3390/nu13103299</w:t>
        </w:r>
      </w:hyperlink>
    </w:p>
    <w:sectPr w:rsidR="002B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AE"/>
    <w:rsid w:val="000E5337"/>
    <w:rsid w:val="002934AE"/>
    <w:rsid w:val="002B3CE3"/>
    <w:rsid w:val="002B4B0A"/>
    <w:rsid w:val="003E0E0D"/>
    <w:rsid w:val="005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8BA5"/>
  <w15:chartTrackingRefBased/>
  <w15:docId w15:val="{31E4832C-F9E3-0C44-BAB6-13BD8EF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4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4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971256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90/nu13030749" TargetMode="External"/><Relationship Id="rId12" Type="http://schemas.openxmlformats.org/officeDocument/2006/relationships/hyperlink" Target="https://doi.org/10.3390/nu13103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9417495/" TargetMode="External"/><Relationship Id="rId11" Type="http://schemas.openxmlformats.org/officeDocument/2006/relationships/hyperlink" Target="https://www.ncbi.nlm.nih.gov/pmc/articles/PMC8319397/" TargetMode="External"/><Relationship Id="rId5" Type="http://schemas.openxmlformats.org/officeDocument/2006/relationships/hyperlink" Target="https://www.frontiersin.org/article/10.3389/fendo.2019.00348" TargetMode="External"/><Relationship Id="rId10" Type="http://schemas.openxmlformats.org/officeDocument/2006/relationships/hyperlink" Target="https://doi.org/10.1186/s12891-022-05258-0" TargetMode="External"/><Relationship Id="rId4" Type="http://schemas.openxmlformats.org/officeDocument/2006/relationships/hyperlink" Target="https://doi.org/10.2337/dci21-0034" TargetMode="External"/><Relationship Id="rId9" Type="http://schemas.openxmlformats.org/officeDocument/2006/relationships/hyperlink" Target="https://bmjopen.bmj.com/content/9/2/e0235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Bjorklund</dc:creator>
  <cp:keywords/>
  <dc:description/>
  <cp:lastModifiedBy>Sachdeva, Ruby (AHRQ/OC) (CTR)</cp:lastModifiedBy>
  <cp:revision>2</cp:revision>
  <dcterms:created xsi:type="dcterms:W3CDTF">2022-06-13T14:30:00Z</dcterms:created>
  <dcterms:modified xsi:type="dcterms:W3CDTF">2022-06-13T14:30:00Z</dcterms:modified>
</cp:coreProperties>
</file>